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sz w:val="28"/>
          <w:szCs w:val="28"/>
          <w:lang w:val="en-US" w:eastAsia="zh-CN"/>
        </w:rPr>
        <w:t>企业应制定与本公司实际情况相适应的生产安全事故应急预案。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51C71FB"/>
    <w:rsid w:val="0D8D04B2"/>
    <w:rsid w:val="1BB91314"/>
    <w:rsid w:val="3526127B"/>
    <w:rsid w:val="3F222F58"/>
    <w:rsid w:val="5D4322B3"/>
    <w:rsid w:val="626A2424"/>
    <w:rsid w:val="7D1E6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jc w:val="center"/>
      <w:outlineLvl w:val="0"/>
    </w:pPr>
    <w:rPr>
      <w:rFonts w:ascii="宋体" w:hAnsi="宋体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0" w:beforeLines="0" w:beforeAutospacing="0" w:after="20" w:afterLines="0" w:afterAutospacing="0" w:line="413" w:lineRule="auto"/>
      <w:jc w:val="center"/>
      <w:outlineLvl w:val="1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LinksUpToDate>false</LinksUpToDate>
  <CharactersWithSpaces>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郭明清</dc:creator>
  <dcterms:created xsi:type="dcterms:W3CDTF">2014-10-29T12:08:00Z</dcterms:created>
  <dcterms:modified xsi:type="dcterms:W3CDTF">2018-06-04T08:02:24Z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